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0F0E68C3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FF5EA2">
        <w:rPr>
          <w:b/>
          <w:bCs/>
        </w:rPr>
        <w:t>German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52FBEE89" w14:textId="77777777" w:rsidR="00FF5EA2" w:rsidRDefault="00FF5EA2" w:rsidP="00FF5E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Willkommen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Abenteuer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Retrostil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der 90er. Ashley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entscheidet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dafür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das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Waschsalon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Familie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umzuwandeln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verschlafenen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Stadt Grindstone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etwas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Aufregendes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bescheren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Sei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Schritt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voraus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verwalte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investiere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Gewinne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eigenes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Paradise!</w:t>
            </w:r>
          </w:p>
          <w:p w14:paraId="5B005350" w14:textId="77777777" w:rsidR="00B94618" w:rsidRDefault="00B94618" w:rsidP="00FF5EA2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269EB0C4" w14:textId="77777777" w:rsidR="00FF5EA2" w:rsidRDefault="00FF5EA2" w:rsidP="00FF5E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Von Lumpen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Pixeln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77777777" w:rsidR="00B94618" w:rsidRDefault="00B94618" w:rsidP="00FF5EA2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1D45D32F" w14:textId="77777777" w:rsidR="00FF5EA2" w:rsidRDefault="00FF5EA2" w:rsidP="00FF5E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Ashley muss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Schlüssel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Waschsalon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Familie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der Hand 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großen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Plänen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Sinn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Herren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Schritt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voraus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sein und die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Gewinne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verwalten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Spielhallenparadies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aufzubauen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FF5EA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0956199E" w14:textId="77777777" w:rsidR="00FF5EA2" w:rsidRDefault="00FF5EA2" w:rsidP="00FF5E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Von Lumpen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Millionär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…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wortwörtlich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Übernimm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Waschsalon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öder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Aufgaben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Kleidung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waschen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Müll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rausbringen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und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verwandle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ihn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florierende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Spielhalle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coolsten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der Stadt, die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massig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scheffeln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Münze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einwerfen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Mehr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 Arcade-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allesamt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eigenen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Gameplay-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Elementen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Geschichten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Missionen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Bestenlisten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Inspiriert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von 3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Jahrzehnten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Videospielen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von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frühen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Vektorspielen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32-Bit-Ära.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Ein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neuer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Herausforderer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steht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bereit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Wirf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zweite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Münze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Freunden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Reihe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kooperativ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gegeneinander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lokalen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Spielern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Erklimme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Bestenliste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Beweise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dich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jedem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Spiel, gib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Initialen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Lieblings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-Arcade-Spiel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beliebter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erklimme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die Online-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Bestenliste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Ein Soundtrack,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Kassettensammlung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würdig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Der Soundtrack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verkörpert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Herz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vergangenen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Ära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Hits, die von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frühen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90ern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inspiriert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Erlebe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ihn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einzelnen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wähle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Lieblingslieder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der Jukebox.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Spiele-Ära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Zeiten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Willkommen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den 90ern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Könntest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dieses Spiel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riechen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es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Duft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Erinnerungen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Erscheinungsbild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Spielhallen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bis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brandneuen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PC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irrer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Wählverbindung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wurde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großer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Liebe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nachgebildet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Gerald in der Riviera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bekannt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für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seine Arbeit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Synchronsprecher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„Victor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“ in der Serie „The Witcher“)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spielt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die Rolle von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Ashleys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nörgelndem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Da er in der Riviera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beschäftigt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um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selbst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um King Wash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kümmern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wird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dich Gerald oft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anrufen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guten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geben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und dich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wieder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erinnern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die Toilette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reparieren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FF5EA2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308D9F20" w14:textId="77777777" w:rsidR="00FF5EA2" w:rsidRDefault="00FF5EA2" w:rsidP="00FF5E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mehrfach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ausgezeichnetes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unabhängiges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Studio in Newcastle upon Tyne, </w:t>
            </w:r>
            <w:proofErr w:type="spellStart"/>
            <w:r>
              <w:rPr>
                <w:rFonts w:ascii="Calibri" w:hAnsi="Calibri" w:cs="Calibri"/>
                <w:color w:val="000000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Herzen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Nordosten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Englands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Nach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gefeierten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Vostok Inc. </w:t>
            </w:r>
            <w:proofErr w:type="spellStart"/>
            <w:r>
              <w:rPr>
                <w:rFonts w:ascii="Calibri" w:hAnsi="Calibri" w:cs="Calibri"/>
                <w:color w:val="000000"/>
              </w:rPr>
              <w:t>arbeitet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jetzt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</w:rPr>
              <w:t>seinem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nächsten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Spiel.</w:t>
            </w:r>
          </w:p>
          <w:p w14:paraId="2B1FB195" w14:textId="77777777" w:rsidR="00CB2F9E" w:rsidRDefault="00CB2F9E" w:rsidP="00FF5EA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7C2B7C2A" w14:textId="53C4DF50" w:rsidR="00335F0D" w:rsidRDefault="00FF5EA2" w:rsidP="0033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und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Vertrieben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von Wired Productions Ltd und </w:t>
            </w:r>
            <w:proofErr w:type="spellStart"/>
            <w:r>
              <w:rPr>
                <w:rFonts w:ascii="Calibri" w:hAnsi="Calibri" w:cs="Calibri"/>
                <w:color w:val="000000"/>
              </w:rPr>
              <w:t>entwickelt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von Nosebleed Interactive. Arcade Paradise und das Logo von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sind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von Nosebleed Interactive und Wired Productions.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Rechte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vorbehalten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335F0D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235E77"/>
    <w:rsid w:val="0031065B"/>
    <w:rsid w:val="00335F0D"/>
    <w:rsid w:val="00390E36"/>
    <w:rsid w:val="006F1379"/>
    <w:rsid w:val="00750FA6"/>
    <w:rsid w:val="009C724C"/>
    <w:rsid w:val="00B94618"/>
    <w:rsid w:val="00C8589A"/>
    <w:rsid w:val="00CB2F9E"/>
    <w:rsid w:val="00F41D19"/>
    <w:rsid w:val="00F6236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2021-12-01T10:14:00Z</dcterms:created>
  <dcterms:modified xsi:type="dcterms:W3CDTF">2021-12-01T10:14:00Z</dcterms:modified>
</cp:coreProperties>
</file>